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F0" w:rsidRDefault="002441CF" w:rsidP="0005052E">
      <w:pPr>
        <w:widowControl w:val="0"/>
        <w:spacing w:line="192" w:lineRule="auto"/>
        <w:rPr>
          <w:b/>
          <w:noProof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753600" cy="0"/>
                <wp:effectExtent l="0" t="0" r="1905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57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1.5pt;width:768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sr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" strokeweight="1.5pt">
                <w10:wrap anchorx="margin"/>
              </v:shape>
            </w:pict>
          </mc:Fallback>
        </mc:AlternateContent>
      </w:r>
      <w:r w:rsidR="00436141" w:rsidRPr="0013730F">
        <w:rPr>
          <w:rFonts w:ascii="Zurich Cn BT" w:hAnsi="Zurich Cn BT"/>
          <w:b/>
          <w:bCs/>
          <w:noProof/>
          <w:sz w:val="26"/>
          <w:szCs w:val="26"/>
          <w:lang w:eastAsia="zh-CN"/>
        </w:rPr>
        <w:drawing>
          <wp:anchor distT="180340" distB="0" distL="114300" distR="114300" simplePos="0" relativeHeight="251656704" behindDoc="1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466725</wp:posOffset>
            </wp:positionV>
            <wp:extent cx="617220" cy="609600"/>
            <wp:effectExtent l="0" t="0" r="0" b="0"/>
            <wp:wrapTight wrapText="bothSides">
              <wp:wrapPolygon edited="0">
                <wp:start x="0" y="0"/>
                <wp:lineTo x="0" y="20925"/>
                <wp:lineTo x="20667" y="20925"/>
                <wp:lineTo x="20667" y="0"/>
                <wp:lineTo x="0" y="0"/>
              </wp:wrapPolygon>
            </wp:wrapTight>
            <wp:docPr id="7" name="Picture 7" descr="09-82918_logo_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9-82918_logo_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52E" w:rsidRPr="0013730F" w:rsidRDefault="00985275" w:rsidP="001C1A19">
      <w:pPr>
        <w:widowControl w:val="0"/>
        <w:spacing w:before="80"/>
        <w:rPr>
          <w:rFonts w:ascii="Zurich Cn BT" w:hAnsi="Zurich Cn BT"/>
          <w:b/>
          <w:noProof/>
          <w:lang w:eastAsia="zh-CN"/>
        </w:rPr>
      </w:pPr>
      <w:r w:rsidRPr="006A129F">
        <w:rPr>
          <w:rFonts w:ascii="SimHei" w:eastAsia="SimHei" w:hAnsi="Zurich Cn BT" w:hint="eastAsia"/>
          <w:sz w:val="26"/>
          <w:szCs w:val="26"/>
          <w:lang w:eastAsia="zh-CN"/>
        </w:rPr>
        <w:t>国际麻醉品管制局</w:t>
      </w:r>
      <w:r w:rsidRPr="00A35FD3">
        <w:rPr>
          <w:b/>
          <w:bCs/>
          <w:noProof/>
          <w:lang w:eastAsia="zh-CN"/>
        </w:rPr>
        <w:tab/>
      </w:r>
      <w:r w:rsidR="0005052E" w:rsidRPr="0013730F">
        <w:rPr>
          <w:rFonts w:ascii="Zurich Cn BT" w:hAnsi="Zurich Cn BT"/>
          <w:b/>
          <w:bCs/>
          <w:noProof/>
          <w:lang w:eastAsia="zh-CN"/>
        </w:rPr>
        <w:tab/>
      </w:r>
      <w:r w:rsidR="0005052E" w:rsidRPr="0013730F">
        <w:rPr>
          <w:rFonts w:ascii="Zurich Cn BT" w:hAnsi="Zurich Cn BT"/>
          <w:b/>
          <w:bCs/>
          <w:noProof/>
          <w:sz w:val="32"/>
          <w:szCs w:val="32"/>
          <w:lang w:eastAsia="zh-CN"/>
        </w:rPr>
        <w:tab/>
      </w:r>
      <w:r w:rsidR="0005052E" w:rsidRPr="0013730F">
        <w:rPr>
          <w:rFonts w:ascii="Zurich Cn BT" w:hAnsi="Zurich Cn BT"/>
          <w:b/>
          <w:noProof/>
          <w:lang w:eastAsia="zh-CN"/>
        </w:rPr>
        <w:t xml:space="preserve">                       </w:t>
      </w:r>
      <w:r w:rsidR="0005052E" w:rsidRPr="0013730F">
        <w:rPr>
          <w:rFonts w:ascii="Zurich Cn BT" w:hAnsi="Zurich Cn BT"/>
          <w:b/>
          <w:noProof/>
          <w:lang w:eastAsia="zh-CN"/>
        </w:rPr>
        <w:tab/>
      </w:r>
      <w:r w:rsidR="0005052E" w:rsidRPr="0013730F">
        <w:rPr>
          <w:rFonts w:ascii="Zurich Cn BT" w:hAnsi="Zurich Cn BT"/>
          <w:b/>
          <w:noProof/>
          <w:lang w:eastAsia="zh-CN"/>
        </w:rPr>
        <w:tab/>
      </w:r>
      <w:r w:rsidR="0005052E" w:rsidRPr="0013730F">
        <w:rPr>
          <w:rFonts w:ascii="Zurich Cn BT" w:hAnsi="Zurich Cn BT"/>
          <w:b/>
          <w:noProof/>
          <w:lang w:eastAsia="zh-CN"/>
        </w:rPr>
        <w:tab/>
      </w:r>
      <w:r w:rsidR="0005052E" w:rsidRPr="0013730F">
        <w:rPr>
          <w:rFonts w:ascii="Zurich Cn BT" w:hAnsi="Zurich Cn BT"/>
          <w:b/>
          <w:noProof/>
          <w:lang w:eastAsia="zh-CN"/>
        </w:rPr>
        <w:tab/>
      </w:r>
      <w:r w:rsidR="0005052E" w:rsidRPr="0013730F">
        <w:rPr>
          <w:rFonts w:ascii="Zurich Cn BT" w:hAnsi="Zurich Cn BT"/>
          <w:b/>
          <w:noProof/>
          <w:lang w:eastAsia="zh-CN"/>
        </w:rPr>
        <w:tab/>
      </w:r>
      <w:r w:rsidR="00FA39D4">
        <w:rPr>
          <w:rFonts w:ascii="Zurich Cn BT" w:hAnsi="Zurich Cn BT"/>
          <w:b/>
          <w:noProof/>
          <w:lang w:eastAsia="zh-CN"/>
        </w:rPr>
        <w:t xml:space="preserve">  </w:t>
      </w:r>
      <w:r>
        <w:rPr>
          <w:rFonts w:ascii="Zurich Cn BT" w:hAnsi="Zurich Cn BT" w:hint="eastAsia"/>
          <w:b/>
          <w:noProof/>
          <w:lang w:eastAsia="zh-CN"/>
        </w:rPr>
        <w:tab/>
      </w:r>
      <w:r w:rsidR="001C1A19">
        <w:rPr>
          <w:rFonts w:ascii="Zurich Cn BT" w:hAnsi="Zurich Cn BT"/>
          <w:b/>
          <w:noProof/>
          <w:lang w:eastAsia="zh-CN"/>
        </w:rPr>
        <w:tab/>
      </w:r>
      <w:r w:rsidR="001C1A19">
        <w:rPr>
          <w:rFonts w:ascii="Zurich Cn BT" w:hAnsi="Zurich Cn BT"/>
          <w:b/>
          <w:noProof/>
          <w:lang w:eastAsia="zh-CN"/>
        </w:rPr>
        <w:tab/>
        <w:t xml:space="preserve">          </w:t>
      </w:r>
      <w:r>
        <w:rPr>
          <w:rFonts w:ascii="Zurich Cn BT" w:hAnsi="Zurich Cn BT" w:hint="eastAsia"/>
          <w:b/>
          <w:noProof/>
          <w:lang w:eastAsia="zh-CN"/>
        </w:rPr>
        <w:t xml:space="preserve">      </w:t>
      </w:r>
      <w:r w:rsidR="00FA39D4">
        <w:rPr>
          <w:rFonts w:ascii="Zurich Cn BT" w:hAnsi="Zurich Cn BT"/>
          <w:b/>
          <w:noProof/>
          <w:lang w:eastAsia="zh-CN"/>
        </w:rPr>
        <w:t xml:space="preserve">    </w:t>
      </w:r>
      <w:r w:rsidRPr="00185BAB">
        <w:rPr>
          <w:rFonts w:ascii="SimHei" w:eastAsia="SimHei" w:hAnsi="SimHei" w:hint="eastAsia"/>
          <w:noProof/>
          <w:sz w:val="40"/>
          <w:szCs w:val="40"/>
          <w:lang w:eastAsia="zh-CN"/>
        </w:rPr>
        <w:t>表</w:t>
      </w:r>
      <w:r w:rsidRPr="00785E48">
        <w:rPr>
          <w:rFonts w:ascii="Zurich Cn BT" w:hAnsi="Zurich Cn BT"/>
          <w:b/>
          <w:noProof/>
          <w:sz w:val="40"/>
          <w:szCs w:val="40"/>
          <w:lang w:eastAsia="zh-CN"/>
        </w:rPr>
        <w:t>B/P</w:t>
      </w:r>
      <w:r w:rsidRPr="00185BAB">
        <w:rPr>
          <w:rFonts w:ascii="SimHei" w:eastAsia="SimHei" w:hAnsi="SimHei" w:hint="eastAsia"/>
          <w:noProof/>
          <w:sz w:val="40"/>
          <w:szCs w:val="40"/>
          <w:lang w:eastAsia="zh-CN"/>
        </w:rPr>
        <w:t>补充表格</w:t>
      </w:r>
    </w:p>
    <w:p w:rsidR="0005052E" w:rsidRDefault="0005052E" w:rsidP="00A02488">
      <w:pPr>
        <w:tabs>
          <w:tab w:val="left" w:pos="9072"/>
        </w:tabs>
        <w:spacing w:line="200" w:lineRule="exact"/>
        <w:jc w:val="center"/>
        <w:rPr>
          <w:b/>
          <w:bCs/>
          <w:noProof/>
          <w:lang w:eastAsia="zh-CN"/>
        </w:rPr>
      </w:pPr>
    </w:p>
    <w:p w:rsidR="0005052E" w:rsidRDefault="0005052E" w:rsidP="00A02488">
      <w:pPr>
        <w:tabs>
          <w:tab w:val="left" w:pos="9072"/>
        </w:tabs>
        <w:spacing w:line="200" w:lineRule="exact"/>
        <w:jc w:val="center"/>
        <w:rPr>
          <w:b/>
          <w:bCs/>
          <w:noProof/>
          <w:lang w:eastAsia="zh-CN"/>
        </w:rPr>
      </w:pPr>
    </w:p>
    <w:p w:rsidR="0005052E" w:rsidRDefault="002441CF" w:rsidP="009664C6">
      <w:pPr>
        <w:tabs>
          <w:tab w:val="left" w:pos="9072"/>
        </w:tabs>
        <w:jc w:val="center"/>
        <w:rPr>
          <w:b/>
          <w:bCs/>
          <w:noProof/>
          <w:lang w:eastAsia="zh-CN"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753600" cy="0"/>
                <wp:effectExtent l="0" t="0" r="1905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00BA" id="AutoShape 10" o:spid="_x0000_s1026" type="#_x0000_t32" style="position:absolute;margin-left:0;margin-top:.8pt;width:768pt;height:0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xP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" strokeweight="1.5pt">
                <w10:wrap anchorx="margin"/>
              </v:shape>
            </w:pict>
          </mc:Fallback>
        </mc:AlternateContent>
      </w:r>
    </w:p>
    <w:p w:rsidR="004C0022" w:rsidRPr="00185BAB" w:rsidRDefault="004C0022" w:rsidP="00286690">
      <w:pPr>
        <w:spacing w:line="360" w:lineRule="exact"/>
        <w:jc w:val="center"/>
        <w:rPr>
          <w:rFonts w:eastAsia="SimHei"/>
          <w:lang w:eastAsia="zh-CN"/>
        </w:rPr>
      </w:pPr>
      <w:r w:rsidRPr="00185BAB">
        <w:rPr>
          <w:rFonts w:eastAsia="SimHei"/>
          <w:b/>
          <w:bCs/>
          <w:lang w:eastAsia="zh-CN"/>
        </w:rPr>
        <w:t>1971</w:t>
      </w:r>
      <w:r w:rsidRPr="00185BAB">
        <w:rPr>
          <w:rFonts w:eastAsia="SimHei" w:hint="eastAsia"/>
          <w:lang w:eastAsia="zh-CN"/>
        </w:rPr>
        <w:t>年《精神药物公约》表二、表三和表四所列药物</w:t>
      </w:r>
    </w:p>
    <w:p w:rsidR="004C0022" w:rsidRDefault="004C0022" w:rsidP="00A02488">
      <w:pPr>
        <w:pStyle w:val="Header"/>
        <w:spacing w:after="60"/>
        <w:jc w:val="center"/>
        <w:rPr>
          <w:rFonts w:eastAsia="SimHei"/>
          <w:sz w:val="24"/>
          <w:szCs w:val="24"/>
          <w:lang w:eastAsia="zh-CN"/>
        </w:rPr>
      </w:pPr>
      <w:r w:rsidRPr="00185BAB">
        <w:rPr>
          <w:rFonts w:eastAsia="SimHei" w:hint="eastAsia"/>
          <w:sz w:val="24"/>
          <w:szCs w:val="24"/>
          <w:lang w:eastAsia="zh-CN"/>
        </w:rPr>
        <w:t>医疗和科研年需要量估计数</w:t>
      </w:r>
      <w:r>
        <w:rPr>
          <w:rFonts w:eastAsia="SimHei" w:hint="eastAsia"/>
          <w:sz w:val="24"/>
          <w:szCs w:val="24"/>
          <w:lang w:eastAsia="zh-CN"/>
        </w:rPr>
        <w:t>补充</w:t>
      </w:r>
    </w:p>
    <w:p w:rsidR="004C0022" w:rsidRPr="004F0216" w:rsidRDefault="004C0022" w:rsidP="00286690">
      <w:pPr>
        <w:jc w:val="center"/>
        <w:rPr>
          <w:rFonts w:eastAsia="STZhongsong"/>
          <w:sz w:val="21"/>
          <w:szCs w:val="21"/>
          <w:lang w:eastAsia="zh-CN"/>
        </w:rPr>
      </w:pPr>
      <w:r w:rsidRPr="004F0216">
        <w:rPr>
          <w:rFonts w:eastAsia="STZhongsong"/>
          <w:sz w:val="21"/>
          <w:szCs w:val="21"/>
          <w:lang w:eastAsia="zh-CN"/>
        </w:rPr>
        <w:t>（根据经济及社会理事会第</w:t>
      </w:r>
      <w:r w:rsidRPr="004F0216">
        <w:rPr>
          <w:rFonts w:eastAsia="STZhongsong"/>
          <w:b/>
          <w:sz w:val="21"/>
          <w:szCs w:val="21"/>
          <w:lang w:eastAsia="zh-CN"/>
        </w:rPr>
        <w:t>1981/7</w:t>
      </w:r>
      <w:r w:rsidRPr="004F0216">
        <w:rPr>
          <w:rFonts w:eastAsia="STZhongsong"/>
          <w:sz w:val="21"/>
          <w:szCs w:val="21"/>
          <w:lang w:eastAsia="zh-CN"/>
        </w:rPr>
        <w:t>、第</w:t>
      </w:r>
      <w:r w:rsidRPr="004F0216">
        <w:rPr>
          <w:rFonts w:eastAsia="STZhongsong"/>
          <w:b/>
          <w:sz w:val="21"/>
          <w:szCs w:val="21"/>
          <w:lang w:eastAsia="zh-CN"/>
        </w:rPr>
        <w:t>1991/44</w:t>
      </w:r>
      <w:r w:rsidRPr="004F0216">
        <w:rPr>
          <w:rFonts w:eastAsia="STZhongsong"/>
          <w:sz w:val="21"/>
          <w:szCs w:val="21"/>
          <w:lang w:eastAsia="zh-CN"/>
        </w:rPr>
        <w:t>、第</w:t>
      </w:r>
      <w:r w:rsidRPr="004F0216">
        <w:rPr>
          <w:rFonts w:eastAsia="STZhongsong"/>
          <w:b/>
          <w:sz w:val="21"/>
          <w:szCs w:val="21"/>
          <w:lang w:eastAsia="zh-CN"/>
        </w:rPr>
        <w:t>1993/38</w:t>
      </w:r>
      <w:proofErr w:type="gramStart"/>
      <w:r w:rsidRPr="004F0216">
        <w:rPr>
          <w:rFonts w:eastAsia="STZhongsong"/>
          <w:sz w:val="21"/>
          <w:szCs w:val="21"/>
          <w:lang w:eastAsia="zh-CN"/>
        </w:rPr>
        <w:t>和</w:t>
      </w:r>
      <w:proofErr w:type="gramEnd"/>
    </w:p>
    <w:p w:rsidR="004C0022" w:rsidRPr="004F0216" w:rsidRDefault="004C0022" w:rsidP="004C0022">
      <w:pPr>
        <w:spacing w:line="240" w:lineRule="exact"/>
        <w:jc w:val="center"/>
        <w:rPr>
          <w:rFonts w:eastAsia="STZhongsong"/>
          <w:sz w:val="21"/>
          <w:szCs w:val="21"/>
          <w:lang w:eastAsia="zh-CN"/>
        </w:rPr>
      </w:pPr>
      <w:r w:rsidRPr="004F0216">
        <w:rPr>
          <w:rFonts w:eastAsia="STZhongsong"/>
          <w:sz w:val="21"/>
          <w:szCs w:val="21"/>
          <w:lang w:eastAsia="zh-CN"/>
        </w:rPr>
        <w:t>第</w:t>
      </w:r>
      <w:r w:rsidRPr="004F0216">
        <w:rPr>
          <w:rFonts w:eastAsia="STZhongsong"/>
          <w:b/>
          <w:sz w:val="21"/>
          <w:szCs w:val="21"/>
          <w:lang w:eastAsia="zh-CN"/>
        </w:rPr>
        <w:t>1996/30</w:t>
      </w:r>
      <w:r w:rsidRPr="004F0216">
        <w:rPr>
          <w:rFonts w:eastAsia="STZhongsong"/>
          <w:sz w:val="21"/>
          <w:szCs w:val="21"/>
          <w:lang w:eastAsia="zh-CN"/>
        </w:rPr>
        <w:t>号决议递交国际麻醉品管制局（麻管局））</w:t>
      </w:r>
    </w:p>
    <w:tbl>
      <w:tblPr>
        <w:tblpPr w:leftFromText="180" w:rightFromText="180" w:vertAnchor="text" w:horzAnchor="margin" w:tblpX="-9" w:tblpY="107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5188"/>
        <w:gridCol w:w="1800"/>
        <w:gridCol w:w="5572"/>
      </w:tblGrid>
      <w:tr w:rsidR="00985275" w:rsidRPr="00286690" w:rsidTr="002441CF">
        <w:trPr>
          <w:trHeight w:val="430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185BAB">
              <w:rPr>
                <w:rFonts w:ascii="SimHei" w:eastAsia="SimHei" w:hint="eastAsia"/>
                <w:bCs/>
                <w:sz w:val="18"/>
                <w:szCs w:val="18"/>
              </w:rPr>
              <w:t>国家或领土</w:t>
            </w:r>
            <w:proofErr w:type="spellEnd"/>
            <w:r w:rsidRPr="00492652">
              <w:rPr>
                <w:rFonts w:ascii="SimSun"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897B6D">
              <w:rPr>
                <w:rFonts w:ascii="SimHei" w:eastAsia="SimHei" w:hint="eastAsia"/>
                <w:bCs/>
                <w:sz w:val="18"/>
                <w:szCs w:val="18"/>
              </w:rPr>
              <w:t>日期</w:t>
            </w:r>
            <w:proofErr w:type="spellEnd"/>
            <w:r w:rsidRPr="00492652">
              <w:rPr>
                <w:rFonts w:ascii="SimSun"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985275" w:rsidRPr="00286690" w:rsidTr="002441CF">
        <w:trPr>
          <w:trHeight w:val="551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897B6D">
              <w:rPr>
                <w:rFonts w:ascii="SimHei" w:eastAsia="SimHei" w:hint="eastAsia"/>
                <w:bCs/>
                <w:sz w:val="18"/>
                <w:szCs w:val="18"/>
              </w:rPr>
              <w:t>主管部门</w:t>
            </w:r>
            <w:proofErr w:type="spellEnd"/>
            <w:r w:rsidRPr="00492652">
              <w:rPr>
                <w:rFonts w:ascii="SimSun"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spacing w:line="240" w:lineRule="exact"/>
            </w:pPr>
            <w:proofErr w:type="spellStart"/>
            <w:r w:rsidRPr="00897B6D">
              <w:rPr>
                <w:rFonts w:ascii="SimHei" w:eastAsia="SimHei" w:hint="eastAsia"/>
                <w:bCs/>
                <w:sz w:val="18"/>
                <w:szCs w:val="18"/>
              </w:rPr>
              <w:t>职称或职务</w:t>
            </w:r>
            <w:proofErr w:type="spellEnd"/>
            <w:r w:rsidRPr="00492652">
              <w:rPr>
                <w:rFonts w:ascii="SimSun"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985275" w:rsidRPr="00286690" w:rsidTr="002441CF">
        <w:trPr>
          <w:trHeight w:val="498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897B6D">
              <w:rPr>
                <w:rFonts w:ascii="SimHei" w:eastAsia="SimHei" w:hint="eastAsia"/>
                <w:bCs/>
                <w:sz w:val="18"/>
                <w:szCs w:val="18"/>
              </w:rPr>
              <w:t>负责人姓名</w:t>
            </w:r>
            <w:proofErr w:type="spellEnd"/>
            <w:r w:rsidRPr="00492652">
              <w:rPr>
                <w:rFonts w:ascii="SimSun"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spacing w:line="240" w:lineRule="exact"/>
              <w:ind w:right="-108"/>
              <w:rPr>
                <w:b/>
                <w:bCs/>
                <w:sz w:val="18"/>
                <w:szCs w:val="18"/>
              </w:rPr>
            </w:pPr>
            <w:proofErr w:type="spellStart"/>
            <w:r w:rsidRPr="00897B6D">
              <w:rPr>
                <w:rFonts w:ascii="SimHei" w:eastAsia="SimHei" w:hint="eastAsia"/>
                <w:bCs/>
                <w:sz w:val="18"/>
                <w:szCs w:val="18"/>
              </w:rPr>
              <w:t>签名</w:t>
            </w:r>
            <w:proofErr w:type="spellEnd"/>
            <w:r w:rsidRPr="00492652">
              <w:rPr>
                <w:rFonts w:ascii="SimSun" w:hAnsi="SimSun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985275" w:rsidRPr="00286690" w:rsidTr="002441CF">
        <w:trPr>
          <w:trHeight w:val="498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897B6D">
              <w:rPr>
                <w:rFonts w:ascii="SimHei" w:eastAsia="SimHei" w:hint="eastAsia"/>
                <w:bCs/>
                <w:sz w:val="18"/>
                <w:szCs w:val="18"/>
              </w:rPr>
              <w:t>电话号码</w:t>
            </w:r>
            <w:proofErr w:type="spellEnd"/>
            <w:r w:rsidRPr="00897B6D">
              <w:rPr>
                <w:rFonts w:ascii="SimHei" w:eastAsia="SimHei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</w:pPr>
            <w:bookmarkStart w:id="0" w:name="_GoBack"/>
            <w:bookmarkEnd w:id="0"/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75" w:rsidRPr="00286690" w:rsidRDefault="00985275" w:rsidP="002441CF">
            <w:pPr>
              <w:tabs>
                <w:tab w:val="left" w:pos="9072"/>
              </w:tabs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75" w:rsidRPr="00286690" w:rsidRDefault="00985275" w:rsidP="002441CF">
            <w:pPr>
              <w:tabs>
                <w:tab w:val="left" w:pos="9072"/>
              </w:tabs>
              <w:jc w:val="center"/>
            </w:pPr>
          </w:p>
        </w:tc>
      </w:tr>
    </w:tbl>
    <w:p w:rsidR="00A35FD3" w:rsidRPr="00A35FD3" w:rsidRDefault="00A35FD3" w:rsidP="004C0022">
      <w:pPr>
        <w:shd w:val="clear" w:color="auto" w:fill="FFFFFF"/>
        <w:tabs>
          <w:tab w:val="left" w:pos="0"/>
          <w:tab w:val="left" w:pos="9072"/>
        </w:tabs>
        <w:ind w:right="6"/>
        <w:rPr>
          <w:sz w:val="20"/>
          <w:szCs w:val="20"/>
        </w:rPr>
      </w:pPr>
    </w:p>
    <w:tbl>
      <w:tblPr>
        <w:tblW w:w="15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633"/>
        <w:gridCol w:w="1388"/>
        <w:gridCol w:w="1222"/>
        <w:gridCol w:w="7980"/>
      </w:tblGrid>
      <w:tr w:rsidR="0027016D" w:rsidRPr="00286690" w:rsidTr="002441CF">
        <w:trPr>
          <w:trHeight w:val="339"/>
        </w:trPr>
        <w:tc>
          <w:tcPr>
            <w:tcW w:w="1137" w:type="dxa"/>
            <w:tcBorders>
              <w:bottom w:val="nil"/>
            </w:tcBorders>
            <w:vAlign w:val="center"/>
          </w:tcPr>
          <w:p w:rsidR="0027016D" w:rsidRPr="00286690" w:rsidRDefault="00F44077" w:rsidP="00567146">
            <w:pPr>
              <w:widowControl w:val="0"/>
              <w:tabs>
                <w:tab w:val="left" w:pos="9072"/>
              </w:tabs>
              <w:spacing w:line="240" w:lineRule="atLeast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STKaiti" w:eastAsia="STKaiti" w:hAnsi="STKaiti" w:hint="eastAsia"/>
                <w:b/>
                <w:bCs/>
                <w:sz w:val="18"/>
                <w:szCs w:val="18"/>
                <w:lang w:eastAsia="zh-CN"/>
              </w:rPr>
              <w:t>代</w:t>
            </w:r>
            <w:r w:rsidR="00985275" w:rsidRPr="00185BAB">
              <w:rPr>
                <w:rFonts w:ascii="STKaiti" w:eastAsia="STKaiti" w:hAnsi="STKaiti" w:hint="eastAsia"/>
                <w:b/>
                <w:bCs/>
                <w:sz w:val="18"/>
                <w:szCs w:val="18"/>
                <w:lang w:eastAsia="zh-CN"/>
              </w:rPr>
              <w:t>码</w:t>
            </w:r>
            <w:r w:rsidR="00567146" w:rsidRPr="00286690">
              <w:rPr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633" w:type="dxa"/>
            <w:tcBorders>
              <w:bottom w:val="nil"/>
            </w:tcBorders>
            <w:vAlign w:val="center"/>
          </w:tcPr>
          <w:p w:rsidR="0027016D" w:rsidRPr="00286690" w:rsidRDefault="00985275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STKaiti" w:eastAsia="STKaiti" w:hAnsi="STKaiti" w:hint="eastAsia"/>
                <w:b/>
                <w:bCs/>
                <w:sz w:val="18"/>
                <w:szCs w:val="18"/>
                <w:lang w:eastAsia="zh-CN"/>
              </w:rPr>
              <w:t>药物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27016D" w:rsidRPr="00286690" w:rsidRDefault="00985275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STKaiti" w:eastAsia="STKaiti" w:hAnsi="STKaiti" w:hint="eastAsia"/>
                <w:b/>
                <w:bCs/>
                <w:sz w:val="18"/>
                <w:szCs w:val="18"/>
                <w:lang w:eastAsia="zh-CN"/>
              </w:rPr>
              <w:t>数量</w:t>
            </w:r>
            <w:r w:rsidR="0027016D" w:rsidRPr="00286690">
              <w:rPr>
                <w:bCs/>
                <w:sz w:val="18"/>
                <w:szCs w:val="18"/>
                <w:lang w:eastAsia="en-US"/>
              </w:rPr>
              <w:t>*</w:t>
            </w:r>
            <w:r w:rsidR="00567146" w:rsidRPr="00286690">
              <w:rPr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980" w:type="dxa"/>
            <w:vMerge w:val="restart"/>
            <w:vAlign w:val="center"/>
          </w:tcPr>
          <w:p w:rsidR="0027016D" w:rsidRPr="00286690" w:rsidRDefault="00985275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STKaiti" w:eastAsia="STKaiti" w:hAnsi="STKaiti" w:hint="eastAsia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 w:rsidR="0027016D" w:rsidRPr="00286690" w:rsidTr="002441CF">
        <w:trPr>
          <w:trHeight w:val="96"/>
        </w:trPr>
        <w:tc>
          <w:tcPr>
            <w:tcW w:w="1137" w:type="dxa"/>
            <w:tcBorders>
              <w:top w:val="nil"/>
              <w:bottom w:val="single" w:sz="12" w:space="0" w:color="auto"/>
            </w:tcBorders>
            <w:vAlign w:val="center"/>
          </w:tcPr>
          <w:p w:rsidR="0027016D" w:rsidRPr="00286690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tcBorders>
              <w:top w:val="nil"/>
              <w:bottom w:val="single" w:sz="12" w:space="0" w:color="auto"/>
            </w:tcBorders>
            <w:vAlign w:val="center"/>
          </w:tcPr>
          <w:p w:rsidR="0027016D" w:rsidRPr="00286690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7016D" w:rsidRPr="00286690" w:rsidRDefault="004C0022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185BAB">
              <w:rPr>
                <w:rFonts w:ascii="STKaiti" w:eastAsia="STKaiti" w:hAnsi="STKaiti" w:hint="eastAsia"/>
                <w:b/>
                <w:bCs/>
                <w:sz w:val="18"/>
                <w:szCs w:val="18"/>
                <w:lang w:eastAsia="zh-CN"/>
              </w:rPr>
              <w:t>千克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7016D" w:rsidRPr="00286690" w:rsidRDefault="004C0022" w:rsidP="004C002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185BAB">
              <w:rPr>
                <w:rFonts w:ascii="STKaiti" w:eastAsia="STKaiti" w:hAnsi="STKaiti" w:hint="eastAsia"/>
                <w:b/>
                <w:bCs/>
                <w:sz w:val="18"/>
                <w:szCs w:val="18"/>
                <w:lang w:eastAsia="zh-CN"/>
              </w:rPr>
              <w:t>克</w:t>
            </w:r>
          </w:p>
        </w:tc>
        <w:tc>
          <w:tcPr>
            <w:tcW w:w="7980" w:type="dxa"/>
            <w:vMerge/>
            <w:tcBorders>
              <w:bottom w:val="single" w:sz="12" w:space="0" w:color="auto"/>
            </w:tcBorders>
            <w:vAlign w:val="center"/>
          </w:tcPr>
          <w:p w:rsidR="0027016D" w:rsidRPr="00286690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7D1B94" w:rsidRPr="00FD24C2" w:rsidTr="002441CF">
        <w:trPr>
          <w:trHeight w:val="339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tcBorders>
              <w:top w:val="nil"/>
            </w:tcBorders>
            <w:vAlign w:val="center"/>
          </w:tcPr>
          <w:p w:rsidR="007D1B94" w:rsidRPr="00FD24C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80" w:type="dxa"/>
            <w:tcBorders>
              <w:top w:val="nil"/>
            </w:tcBorders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FD24C2" w:rsidTr="002441CF">
        <w:trPr>
          <w:trHeight w:val="339"/>
        </w:trPr>
        <w:tc>
          <w:tcPr>
            <w:tcW w:w="1137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FD24C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80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FD24C2" w:rsidTr="002441CF">
        <w:trPr>
          <w:trHeight w:val="339"/>
        </w:trPr>
        <w:tc>
          <w:tcPr>
            <w:tcW w:w="1137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FD24C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80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FD24C2" w:rsidTr="002441CF">
        <w:trPr>
          <w:trHeight w:val="339"/>
        </w:trPr>
        <w:tc>
          <w:tcPr>
            <w:tcW w:w="1137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FD24C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80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FD24C2" w:rsidTr="002441CF">
        <w:trPr>
          <w:trHeight w:val="339"/>
        </w:trPr>
        <w:tc>
          <w:tcPr>
            <w:tcW w:w="1137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FD24C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FD24C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80" w:type="dxa"/>
            <w:vAlign w:val="center"/>
          </w:tcPr>
          <w:p w:rsidR="007D1B94" w:rsidRPr="00FD24C2" w:rsidRDefault="007D1B94" w:rsidP="00FD24C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0872DF" w:rsidRPr="00985275" w:rsidRDefault="004C0022" w:rsidP="000872DF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before="60"/>
        <w:rPr>
          <w:rFonts w:ascii="SimSun" w:hAnsi="SimSun"/>
          <w:b/>
          <w:bCs/>
          <w:sz w:val="20"/>
          <w:szCs w:val="20"/>
          <w:u w:val="single"/>
          <w:lang w:eastAsia="zh-CN"/>
        </w:rPr>
      </w:pPr>
      <w:r w:rsidRPr="00FD24C2">
        <w:rPr>
          <w:rFonts w:hint="eastAsia"/>
          <w:b/>
          <w:sz w:val="18"/>
          <w:szCs w:val="18"/>
          <w:lang w:eastAsia="zh-CN"/>
        </w:rPr>
        <w:t xml:space="preserve">  </w:t>
      </w:r>
      <w:r w:rsidR="000872DF" w:rsidRPr="00FD24C2">
        <w:rPr>
          <w:b/>
          <w:sz w:val="18"/>
          <w:szCs w:val="18"/>
          <w:lang w:eastAsia="zh-CN"/>
        </w:rPr>
        <w:t>*</w:t>
      </w:r>
      <w:r w:rsidR="00985275" w:rsidRPr="00FD24C2">
        <w:rPr>
          <w:rFonts w:hint="eastAsia"/>
          <w:b/>
          <w:sz w:val="18"/>
          <w:szCs w:val="18"/>
          <w:lang w:eastAsia="zh-CN"/>
        </w:rPr>
        <w:t xml:space="preserve"> </w:t>
      </w:r>
      <w:r w:rsidR="00985275" w:rsidRPr="00F44077">
        <w:rPr>
          <w:bCs/>
          <w:sz w:val="18"/>
          <w:szCs w:val="18"/>
          <w:lang w:eastAsia="zh-CN"/>
        </w:rPr>
        <w:tab/>
      </w:r>
      <w:r w:rsidR="00985275" w:rsidRPr="00F44077">
        <w:rPr>
          <w:rFonts w:ascii="SimSun" w:hAnsi="SimSun" w:hint="eastAsia"/>
          <w:bCs/>
          <w:sz w:val="18"/>
          <w:szCs w:val="18"/>
          <w:lang w:eastAsia="zh-CN"/>
        </w:rPr>
        <w:t>国际管制精神药物</w:t>
      </w:r>
      <w:r w:rsidR="00985275" w:rsidRPr="00985275">
        <w:rPr>
          <w:rFonts w:ascii="SimSun" w:hAnsi="SimSun" w:hint="eastAsia"/>
          <w:sz w:val="18"/>
          <w:szCs w:val="18"/>
          <w:lang w:eastAsia="zh-CN"/>
        </w:rPr>
        <w:t>清单</w:t>
      </w:r>
      <w:proofErr w:type="gramStart"/>
      <w:r w:rsidR="00985275" w:rsidRPr="00985275">
        <w:rPr>
          <w:rFonts w:ascii="SimSun" w:hAnsi="SimSun" w:hint="eastAsia"/>
          <w:sz w:val="18"/>
          <w:szCs w:val="18"/>
          <w:lang w:eastAsia="zh-CN"/>
        </w:rPr>
        <w:t>（“</w:t>
      </w:r>
      <w:proofErr w:type="gramEnd"/>
      <w:r w:rsidR="00985275" w:rsidRPr="00985275">
        <w:rPr>
          <w:rFonts w:ascii="SimSun" w:hAnsi="SimSun" w:hint="eastAsia"/>
          <w:sz w:val="18"/>
          <w:szCs w:val="18"/>
          <w:lang w:eastAsia="zh-CN"/>
        </w:rPr>
        <w:t>绿表”）</w:t>
      </w:r>
      <w:r w:rsidR="00F44077">
        <w:rPr>
          <w:rFonts w:ascii="SimSun" w:hAnsi="SimSun" w:hint="eastAsia"/>
          <w:sz w:val="18"/>
          <w:szCs w:val="18"/>
          <w:lang w:eastAsia="zh-CN"/>
        </w:rPr>
        <w:t>中使用的物质代</w:t>
      </w:r>
      <w:r>
        <w:rPr>
          <w:rFonts w:ascii="SimSun" w:hAnsi="SimSun" w:hint="eastAsia"/>
          <w:sz w:val="18"/>
          <w:szCs w:val="18"/>
          <w:lang w:eastAsia="zh-CN"/>
        </w:rPr>
        <w:t>码</w:t>
      </w:r>
      <w:r w:rsidR="00985275" w:rsidRPr="00985275">
        <w:rPr>
          <w:rFonts w:ascii="SimSun" w:hAnsi="SimSun" w:hint="eastAsia"/>
          <w:sz w:val="18"/>
          <w:szCs w:val="18"/>
          <w:lang w:eastAsia="zh-CN"/>
        </w:rPr>
        <w:t>。</w:t>
      </w:r>
    </w:p>
    <w:p w:rsidR="00877881" w:rsidRDefault="00BE6074" w:rsidP="00BE6074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8"/>
          <w:szCs w:val="18"/>
          <w:lang w:eastAsia="zh-CN"/>
        </w:rPr>
      </w:pPr>
      <w:r>
        <w:rPr>
          <w:sz w:val="18"/>
          <w:szCs w:val="18"/>
          <w:lang w:val="en-US" w:eastAsia="zh-CN"/>
        </w:rPr>
        <w:t>*</w:t>
      </w:r>
      <w:r w:rsidR="0047153D" w:rsidRPr="00246B02">
        <w:rPr>
          <w:sz w:val="18"/>
          <w:szCs w:val="18"/>
          <w:lang w:val="en-US" w:eastAsia="zh-CN"/>
        </w:rPr>
        <w:t>*</w:t>
      </w:r>
      <w:r w:rsidR="004C0022">
        <w:rPr>
          <w:rFonts w:hint="eastAsia"/>
          <w:sz w:val="18"/>
          <w:szCs w:val="18"/>
          <w:lang w:val="en-US" w:eastAsia="zh-CN"/>
        </w:rPr>
        <w:tab/>
      </w:r>
      <w:r w:rsidR="004C0022">
        <w:rPr>
          <w:rFonts w:hint="eastAsia"/>
          <w:sz w:val="18"/>
          <w:szCs w:val="18"/>
          <w:lang w:eastAsia="zh-CN"/>
        </w:rPr>
        <w:t>在之前已提交的评估数基础上的数量增</w:t>
      </w:r>
      <w:r w:rsidR="004C0022" w:rsidRPr="00AB48CE">
        <w:rPr>
          <w:sz w:val="18"/>
          <w:szCs w:val="18"/>
          <w:lang w:eastAsia="zh-CN"/>
        </w:rPr>
        <w:t>(</w:t>
      </w:r>
      <w:proofErr w:type="gramStart"/>
      <w:r w:rsidR="004C0022" w:rsidRPr="00AB48CE">
        <w:rPr>
          <w:sz w:val="18"/>
          <w:szCs w:val="18"/>
          <w:lang w:eastAsia="zh-CN"/>
        </w:rPr>
        <w:t>+)</w:t>
      </w:r>
      <w:r w:rsidR="004C0022">
        <w:rPr>
          <w:rFonts w:hint="eastAsia"/>
          <w:sz w:val="18"/>
          <w:szCs w:val="18"/>
          <w:lang w:eastAsia="zh-CN"/>
        </w:rPr>
        <w:t>减</w:t>
      </w:r>
      <w:proofErr w:type="gramEnd"/>
      <w:r w:rsidR="004C0022" w:rsidRPr="00AB48CE">
        <w:rPr>
          <w:sz w:val="18"/>
          <w:szCs w:val="18"/>
          <w:lang w:eastAsia="zh-CN"/>
        </w:rPr>
        <w:t>(-)</w:t>
      </w:r>
      <w:r w:rsidR="004C0022">
        <w:rPr>
          <w:rFonts w:hint="eastAsia"/>
          <w:sz w:val="18"/>
          <w:szCs w:val="18"/>
          <w:lang w:eastAsia="zh-CN"/>
        </w:rPr>
        <w:t>。</w:t>
      </w:r>
    </w:p>
    <w:p w:rsidR="00BE6074" w:rsidRPr="00BE6074" w:rsidRDefault="00BE6074" w:rsidP="00BE6074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b/>
          <w:bCs/>
          <w:sz w:val="14"/>
          <w:szCs w:val="14"/>
          <w:u w:val="single"/>
          <w:lang w:eastAsia="zh-CN"/>
        </w:rPr>
      </w:pPr>
    </w:p>
    <w:p w:rsidR="004C0022" w:rsidRPr="00DA0591" w:rsidRDefault="004C0022" w:rsidP="002441CF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after="120"/>
        <w:rPr>
          <w:rFonts w:ascii="STZhongsong" w:eastAsia="STZhongsong" w:hAnsi="STZhongsong"/>
          <w:sz w:val="18"/>
          <w:szCs w:val="18"/>
          <w:lang w:eastAsia="zh-CN"/>
        </w:rPr>
      </w:pPr>
      <w:r w:rsidRPr="004C0022">
        <w:rPr>
          <w:rFonts w:ascii="SimHei" w:eastAsia="SimHei" w:hAnsi="SimHei"/>
          <w:bCs/>
          <w:sz w:val="18"/>
          <w:szCs w:val="18"/>
          <w:u w:val="single"/>
          <w:lang w:eastAsia="zh-CN"/>
        </w:rPr>
        <w:t>注</w:t>
      </w:r>
      <w:r w:rsidRPr="00DA0591">
        <w:rPr>
          <w:rFonts w:ascii="STZhongsong" w:eastAsia="STZhongsong" w:hAnsi="STZhongsong"/>
          <w:bCs/>
          <w:sz w:val="18"/>
          <w:szCs w:val="18"/>
          <w:u w:val="single"/>
          <w:lang w:eastAsia="zh-CN"/>
        </w:rPr>
        <w:t>：</w:t>
      </w:r>
      <w:r w:rsidRPr="00DA0591">
        <w:rPr>
          <w:rFonts w:ascii="STZhongsong" w:eastAsia="STZhongsong" w:hAnsi="STZhongsong"/>
          <w:sz w:val="18"/>
          <w:szCs w:val="18"/>
          <w:lang w:eastAsia="zh-CN"/>
        </w:rPr>
        <w:t xml:space="preserve"> </w:t>
      </w:r>
    </w:p>
    <w:p w:rsidR="004C0022" w:rsidRPr="00DA0591" w:rsidRDefault="004C0022" w:rsidP="004C0022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1.</w:t>
      </w:r>
      <w:r>
        <w:rPr>
          <w:rFonts w:hint="eastAsia"/>
          <w:sz w:val="16"/>
          <w:szCs w:val="16"/>
          <w:lang w:eastAsia="zh-CN"/>
        </w:rPr>
        <w:tab/>
      </w:r>
      <w:r w:rsidRPr="00DA0591">
        <w:rPr>
          <w:rFonts w:hint="eastAsia"/>
          <w:sz w:val="16"/>
          <w:szCs w:val="16"/>
          <w:lang w:eastAsia="zh-CN"/>
        </w:rPr>
        <w:t>可使用本表提交对目前评估数的补充。</w:t>
      </w:r>
    </w:p>
    <w:p w:rsidR="004C0022" w:rsidRPr="00DA0591" w:rsidRDefault="004C0022" w:rsidP="004C0022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eastAsia="zh-CN"/>
        </w:rPr>
      </w:pPr>
      <w:r w:rsidRPr="00DA0591">
        <w:rPr>
          <w:sz w:val="16"/>
          <w:szCs w:val="16"/>
          <w:lang w:eastAsia="zh-CN"/>
        </w:rPr>
        <w:t>2.</w:t>
      </w:r>
      <w:r>
        <w:rPr>
          <w:rFonts w:hint="eastAsia"/>
          <w:sz w:val="16"/>
          <w:szCs w:val="16"/>
          <w:lang w:eastAsia="zh-CN"/>
        </w:rPr>
        <w:tab/>
      </w:r>
      <w:r w:rsidRPr="00DA0591">
        <w:rPr>
          <w:rFonts w:hint="eastAsia"/>
          <w:sz w:val="16"/>
          <w:szCs w:val="16"/>
          <w:lang w:eastAsia="zh-CN"/>
        </w:rPr>
        <w:t>新的评估总量将取代之前所交表</w:t>
      </w:r>
      <w:r w:rsidRPr="00DA0591">
        <w:rPr>
          <w:rFonts w:hint="eastAsia"/>
          <w:sz w:val="16"/>
          <w:szCs w:val="16"/>
          <w:lang w:eastAsia="zh-CN"/>
        </w:rPr>
        <w:t>B</w:t>
      </w:r>
      <w:r w:rsidRPr="00DA0591">
        <w:rPr>
          <w:sz w:val="16"/>
          <w:szCs w:val="16"/>
          <w:lang w:eastAsia="zh-CN"/>
        </w:rPr>
        <w:t>/P</w:t>
      </w:r>
      <w:r w:rsidRPr="00DA0591">
        <w:rPr>
          <w:rFonts w:hint="eastAsia"/>
          <w:sz w:val="16"/>
          <w:szCs w:val="16"/>
          <w:lang w:eastAsia="zh-CN"/>
        </w:rPr>
        <w:t>中列明的数量和其后</w:t>
      </w:r>
      <w:r w:rsidR="00A02488">
        <w:rPr>
          <w:rFonts w:hint="eastAsia"/>
          <w:sz w:val="16"/>
          <w:szCs w:val="16"/>
          <w:lang w:eastAsia="zh-CN"/>
        </w:rPr>
        <w:t>的</w:t>
      </w:r>
      <w:r w:rsidRPr="00DA0591">
        <w:rPr>
          <w:rFonts w:hint="eastAsia"/>
          <w:sz w:val="16"/>
          <w:szCs w:val="16"/>
          <w:lang w:eastAsia="zh-CN"/>
        </w:rPr>
        <w:t>任何修订。</w:t>
      </w:r>
    </w:p>
    <w:p w:rsidR="004C0022" w:rsidRDefault="004C0022" w:rsidP="00FD24C2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eastAsia="zh-CN"/>
        </w:rPr>
      </w:pPr>
      <w:r w:rsidRPr="00DA0591">
        <w:rPr>
          <w:sz w:val="16"/>
          <w:szCs w:val="16"/>
          <w:lang w:eastAsia="zh-CN"/>
        </w:rPr>
        <w:t>3.</w:t>
      </w:r>
      <w:r>
        <w:rPr>
          <w:rFonts w:hint="eastAsia"/>
          <w:sz w:val="16"/>
          <w:szCs w:val="16"/>
          <w:lang w:eastAsia="zh-CN"/>
        </w:rPr>
        <w:tab/>
      </w:r>
      <w:proofErr w:type="gramStart"/>
      <w:r w:rsidRPr="00DA0591">
        <w:rPr>
          <w:rFonts w:hint="eastAsia"/>
          <w:sz w:val="16"/>
          <w:szCs w:val="16"/>
          <w:lang w:eastAsia="zh-CN"/>
        </w:rPr>
        <w:t>鼓励主管当局在“</w:t>
      </w:r>
      <w:proofErr w:type="gramEnd"/>
      <w:r w:rsidRPr="00DA0591">
        <w:rPr>
          <w:rFonts w:hint="eastAsia"/>
          <w:sz w:val="16"/>
          <w:szCs w:val="16"/>
          <w:lang w:eastAsia="zh-CN"/>
        </w:rPr>
        <w:t>备注”栏提供对所需修订情形的解释。</w:t>
      </w:r>
    </w:p>
    <w:p w:rsidR="004C0022" w:rsidRDefault="004C0022" w:rsidP="004C0022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eastAsia="zh-CN"/>
        </w:rPr>
      </w:pPr>
      <w:r w:rsidRPr="00DA0591">
        <w:rPr>
          <w:sz w:val="16"/>
          <w:szCs w:val="16"/>
          <w:lang w:eastAsia="zh-CN"/>
        </w:rPr>
        <w:t>4.</w:t>
      </w:r>
      <w:r>
        <w:rPr>
          <w:rFonts w:hint="eastAsia"/>
          <w:sz w:val="16"/>
          <w:szCs w:val="16"/>
          <w:lang w:eastAsia="zh-CN"/>
        </w:rPr>
        <w:tab/>
      </w:r>
      <w:r w:rsidRPr="00DA0591">
        <w:rPr>
          <w:rFonts w:hint="eastAsia"/>
          <w:sz w:val="16"/>
          <w:szCs w:val="16"/>
          <w:lang w:eastAsia="zh-CN"/>
        </w:rPr>
        <w:t>不应列入准备出口的精神药物数量。</w:t>
      </w:r>
    </w:p>
    <w:sectPr w:rsidR="004C0022" w:rsidSect="002441CF">
      <w:headerReference w:type="even" r:id="rId8"/>
      <w:footerReference w:type="even" r:id="rId9"/>
      <w:footerReference w:type="default" r:id="rId10"/>
      <w:footerReference w:type="first" r:id="rId11"/>
      <w:endnotePr>
        <w:numFmt w:val="decimal"/>
      </w:endnotePr>
      <w:pgSz w:w="16837" w:h="11904" w:orient="landscape" w:code="9"/>
      <w:pgMar w:top="567" w:right="567" w:bottom="244" w:left="567" w:header="590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31" w:rsidRDefault="002E6C31">
      <w:r>
        <w:separator/>
      </w:r>
    </w:p>
  </w:endnote>
  <w:endnote w:type="continuationSeparator" w:id="0">
    <w:p w:rsidR="002E6C31" w:rsidRDefault="002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1E" w:rsidRDefault="00B40C1E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22" w:rsidRPr="00DA7415" w:rsidRDefault="004C0022" w:rsidP="00AF7601">
    <w:pPr>
      <w:pStyle w:val="Footer"/>
      <w:pBdr>
        <w:top w:val="single" w:sz="4" w:space="1" w:color="auto"/>
        <w:left w:val="single" w:sz="4" w:space="4" w:color="auto"/>
        <w:right w:val="single" w:sz="4" w:space="4" w:color="auto"/>
      </w:pBdr>
      <w:jc w:val="center"/>
      <w:rPr>
        <w:bCs/>
        <w:iCs/>
        <w:sz w:val="16"/>
        <w:szCs w:val="16"/>
        <w:lang w:eastAsia="zh-CN"/>
      </w:rPr>
    </w:pPr>
    <w:r w:rsidRPr="00DA7415">
      <w:rPr>
        <w:rFonts w:hint="eastAsia"/>
        <w:bCs/>
        <w:sz w:val="16"/>
        <w:szCs w:val="16"/>
      </w:rPr>
      <w:t>应将本表填写后送交：</w:t>
    </w:r>
    <w:r w:rsidRPr="00DA7415">
      <w:rPr>
        <w:bCs/>
        <w:iCs/>
        <w:sz w:val="16"/>
        <w:szCs w:val="16"/>
      </w:rPr>
      <w:t>International Narcotics Control Board</w:t>
    </w:r>
    <w:r w:rsidRPr="00DA7415">
      <w:rPr>
        <w:rFonts w:hint="eastAsia"/>
        <w:bCs/>
        <w:iCs/>
        <w:sz w:val="16"/>
        <w:szCs w:val="16"/>
        <w:lang w:eastAsia="zh-CN"/>
      </w:rPr>
      <w:t xml:space="preserve"> </w:t>
    </w:r>
    <w:r w:rsidRPr="00DA7415">
      <w:rPr>
        <w:bCs/>
        <w:iCs/>
        <w:sz w:val="16"/>
        <w:szCs w:val="16"/>
      </w:rPr>
      <w:t>Vienna Inte</w:t>
    </w:r>
    <w:r w:rsidR="00FD24C2">
      <w:rPr>
        <w:bCs/>
        <w:iCs/>
        <w:sz w:val="16"/>
        <w:szCs w:val="16"/>
      </w:rPr>
      <w:t xml:space="preserve">rnational CentreP.O. Box 500, </w:t>
    </w:r>
    <w:r w:rsidRPr="00DA7415">
      <w:rPr>
        <w:bCs/>
        <w:iCs/>
        <w:sz w:val="16"/>
        <w:szCs w:val="16"/>
      </w:rPr>
      <w:t>1400 Vienna, Austria</w:t>
    </w:r>
    <w:r w:rsidRPr="00DA7415">
      <w:rPr>
        <w:rFonts w:hint="eastAsia"/>
        <w:bCs/>
        <w:iCs/>
        <w:sz w:val="16"/>
        <w:szCs w:val="16"/>
        <w:lang w:eastAsia="zh-CN"/>
      </w:rPr>
      <w:t>，</w:t>
    </w:r>
    <w:r w:rsidRPr="00DA7415">
      <w:rPr>
        <w:rFonts w:hint="eastAsia"/>
        <w:bCs/>
        <w:iCs/>
        <w:sz w:val="16"/>
        <w:szCs w:val="16"/>
      </w:rPr>
      <w:t>电话：</w:t>
    </w:r>
    <w:r w:rsidRPr="00DA7415">
      <w:rPr>
        <w:bCs/>
        <w:iCs/>
        <w:sz w:val="16"/>
        <w:szCs w:val="16"/>
      </w:rPr>
      <w:t>+ (43) (1) 26060-4277</w:t>
    </w:r>
    <w:r w:rsidRPr="00DA7415">
      <w:rPr>
        <w:rFonts w:hint="eastAsia"/>
        <w:bCs/>
        <w:iCs/>
        <w:sz w:val="16"/>
        <w:szCs w:val="16"/>
        <w:lang w:eastAsia="zh-CN"/>
      </w:rPr>
      <w:t>，</w:t>
    </w:r>
    <w:r w:rsidRPr="00DA7415">
      <w:rPr>
        <w:rFonts w:hint="eastAsia"/>
        <w:bCs/>
        <w:iCs/>
        <w:sz w:val="16"/>
        <w:szCs w:val="16"/>
      </w:rPr>
      <w:t>电子邮件：</w:t>
    </w:r>
    <w:r w:rsidR="00AF7601">
      <w:rPr>
        <w:sz w:val="16"/>
        <w:szCs w:val="16"/>
      </w:rPr>
      <w:t>incb.secretariat@un.org</w:t>
    </w:r>
    <w:r w:rsidR="00AF7601" w:rsidRPr="00246B02">
      <w:rPr>
        <w:sz w:val="16"/>
        <w:szCs w:val="16"/>
      </w:rPr>
      <w:t xml:space="preserve">, </w:t>
    </w:r>
    <w:r w:rsidR="00AF7601">
      <w:rPr>
        <w:sz w:val="16"/>
        <w:szCs w:val="16"/>
      </w:rPr>
      <w:t>incb.p</w:t>
    </w:r>
    <w:r w:rsidR="00AF7601" w:rsidRPr="00246B02">
      <w:rPr>
        <w:sz w:val="16"/>
        <w:szCs w:val="16"/>
      </w:rPr>
      <w:t>sychotropics@</w:t>
    </w:r>
    <w:r w:rsidR="00AF7601">
      <w:rPr>
        <w:sz w:val="16"/>
        <w:szCs w:val="16"/>
      </w:rPr>
      <w:t>un</w:t>
    </w:r>
    <w:r w:rsidR="00AF7601" w:rsidRPr="00246B02">
      <w:rPr>
        <w:sz w:val="16"/>
        <w:szCs w:val="16"/>
      </w:rPr>
      <w:t>.org</w:t>
    </w:r>
    <w:r w:rsidR="00FC110F" w:rsidRPr="00DA7415">
      <w:rPr>
        <w:rFonts w:hint="eastAsia"/>
        <w:bCs/>
        <w:iCs/>
        <w:sz w:val="16"/>
        <w:szCs w:val="16"/>
        <w:lang w:eastAsia="zh-CN"/>
      </w:rPr>
      <w:t>。</w:t>
    </w:r>
    <w:r w:rsidR="00FC110F">
      <w:rPr>
        <w:bCs/>
        <w:iCs/>
        <w:sz w:val="16"/>
        <w:szCs w:val="16"/>
        <w:lang w:eastAsia="zh-CN"/>
      </w:rPr>
      <w:br/>
    </w:r>
    <w:r w:rsidRPr="00DA7415">
      <w:rPr>
        <w:bCs/>
        <w:iCs/>
        <w:sz w:val="16"/>
        <w:szCs w:val="16"/>
      </w:rPr>
      <w:t>本表亦可从麻管局网站</w:t>
    </w:r>
    <w:hyperlink r:id="rId1" w:history="1">
      <w:r w:rsidR="00AF7601" w:rsidRPr="00E76EF3">
        <w:rPr>
          <w:rStyle w:val="Hyperlink"/>
          <w:sz w:val="16"/>
          <w:szCs w:val="16"/>
          <w:u w:val="none"/>
        </w:rPr>
        <w:t>www.incb.org</w:t>
      </w:r>
    </w:hyperlink>
    <w:r w:rsidRPr="00DA7415">
      <w:rPr>
        <w:bCs/>
        <w:iCs/>
        <w:sz w:val="16"/>
        <w:szCs w:val="16"/>
      </w:rPr>
      <w:t>上的</w:t>
    </w:r>
    <w:r w:rsidR="00FC110F">
      <w:rPr>
        <w:rFonts w:hint="eastAsia"/>
        <w:bCs/>
        <w:iCs/>
        <w:sz w:val="16"/>
        <w:szCs w:val="16"/>
        <w:lang w:eastAsia="zh-CN"/>
      </w:rPr>
      <w:t>“</w:t>
    </w:r>
    <w:r w:rsidRPr="00DA7415">
      <w:rPr>
        <w:bCs/>
        <w:iCs/>
        <w:sz w:val="16"/>
        <w:szCs w:val="16"/>
      </w:rPr>
      <w:t>Psychotropic Substances</w:t>
    </w:r>
    <w:r w:rsidR="00FC110F">
      <w:rPr>
        <w:bCs/>
        <w:iCs/>
        <w:sz w:val="16"/>
        <w:szCs w:val="16"/>
      </w:rPr>
      <w:t>/</w:t>
    </w:r>
    <w:r w:rsidRPr="00DA7415">
      <w:rPr>
        <w:bCs/>
        <w:iCs/>
        <w:sz w:val="16"/>
        <w:szCs w:val="16"/>
      </w:rPr>
      <w:t>Tool</w:t>
    </w:r>
    <w:r w:rsidR="002E269F">
      <w:rPr>
        <w:bCs/>
        <w:iCs/>
        <w:sz w:val="16"/>
        <w:szCs w:val="16"/>
      </w:rPr>
      <w:t>kit</w:t>
    </w:r>
    <w:r w:rsidR="004E5391">
      <w:rPr>
        <w:bCs/>
        <w:iCs/>
        <w:sz w:val="16"/>
        <w:szCs w:val="16"/>
      </w:rPr>
      <w:t>/Form B/P and Supplement”</w:t>
    </w:r>
    <w:r w:rsidRPr="00DA7415">
      <w:rPr>
        <w:rFonts w:hint="eastAsia"/>
        <w:bCs/>
        <w:iCs/>
        <w:sz w:val="16"/>
        <w:szCs w:val="16"/>
        <w:lang w:eastAsia="zh-CN"/>
      </w:rPr>
      <w:t>栏</w:t>
    </w:r>
    <w:r w:rsidRPr="00DA7415">
      <w:rPr>
        <w:rFonts w:hint="eastAsia"/>
        <w:bCs/>
        <w:iCs/>
        <w:sz w:val="16"/>
        <w:szCs w:val="16"/>
      </w:rPr>
      <w:t>下下载</w:t>
    </w:r>
    <w:r w:rsidR="00FC110F">
      <w:rPr>
        <w:rFonts w:hint="eastAsia"/>
        <w:bCs/>
        <w:iCs/>
        <w:sz w:val="16"/>
        <w:szCs w:val="16"/>
        <w:lang w:eastAsia="zh-CN"/>
      </w:rPr>
      <w:t>。</w:t>
    </w:r>
  </w:p>
  <w:p w:rsidR="00BE6074" w:rsidRDefault="00BE6074" w:rsidP="00BE6074">
    <w:pPr>
      <w:pBdr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2"/>
      </w:tabs>
      <w:jc w:val="center"/>
      <w:rPr>
        <w:sz w:val="16"/>
        <w:szCs w:val="16"/>
      </w:rPr>
    </w:pPr>
  </w:p>
  <w:p w:rsidR="00567146" w:rsidRPr="00567146" w:rsidRDefault="00567146" w:rsidP="00567146">
    <w:pPr>
      <w:pBdr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2"/>
      </w:tabs>
      <w:spacing w:after="120"/>
      <w:jc w:val="center"/>
      <w:rPr>
        <w:sz w:val="16"/>
        <w:szCs w:val="16"/>
        <w:lang w:eastAsia="zh-CN"/>
      </w:rPr>
    </w:pPr>
  </w:p>
  <w:p w:rsidR="004C0022" w:rsidRDefault="00AF7601" w:rsidP="00AF7601">
    <w:pPr>
      <w:tabs>
        <w:tab w:val="left" w:pos="13175"/>
      </w:tabs>
      <w:rPr>
        <w:lang w:eastAsia="zh-CN"/>
      </w:rPr>
    </w:pPr>
    <w:r>
      <w:rPr>
        <w:lang w:eastAsia="zh-C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4428"/>
      <w:gridCol w:w="6028"/>
    </w:tblGrid>
    <w:tr w:rsidR="00B40C1E" w:rsidRPr="00FE1B61" w:rsidTr="00342EE7">
      <w:tc>
        <w:tcPr>
          <w:tcW w:w="4428" w:type="dxa"/>
        </w:tcPr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</w:p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  <w:r w:rsidRPr="00FE1B61">
            <w:rPr>
              <w:rFonts w:eastAsia="Calibri"/>
              <w:spacing w:val="4"/>
              <w:sz w:val="20"/>
              <w:lang w:val="en-US" w:eastAsia="zh-CN"/>
            </w:rPr>
            <w:t>V.1</w:t>
          </w:r>
          <w:r>
            <w:rPr>
              <w:rFonts w:eastAsia="Calibri"/>
              <w:spacing w:val="4"/>
              <w:sz w:val="20"/>
              <w:lang w:val="en-US" w:eastAsia="zh-CN"/>
            </w:rPr>
            <w:t>3-85241 (E)</w:t>
          </w:r>
        </w:p>
      </w:tc>
      <w:tc>
        <w:tcPr>
          <w:tcW w:w="6028" w:type="dxa"/>
          <w:vMerge w:val="restart"/>
        </w:tcPr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B40C1E" w:rsidRPr="00FE1B61" w:rsidRDefault="00436141" w:rsidP="00342EE7">
          <w:pPr>
            <w:tabs>
              <w:tab w:val="center" w:pos="4320"/>
              <w:tab w:val="right" w:pos="8640"/>
            </w:tabs>
            <w:jc w:val="right"/>
            <w:rPr>
              <w:rFonts w:eastAsia="Calibri"/>
              <w:b/>
              <w:spacing w:val="4"/>
              <w:sz w:val="17"/>
              <w:lang w:val="en-US" w:eastAsia="zh-CN"/>
            </w:rPr>
          </w:pPr>
          <w:r w:rsidRPr="00FE1B61">
            <w:rPr>
              <w:rFonts w:eastAsia="Calibri"/>
              <w:b/>
              <w:noProof/>
              <w:spacing w:val="4"/>
              <w:sz w:val="17"/>
              <w:lang w:eastAsia="zh-CN"/>
            </w:rPr>
            <w:drawing>
              <wp:inline distT="0" distB="0" distL="0" distR="0">
                <wp:extent cx="933450" cy="234950"/>
                <wp:effectExtent l="0" t="0" r="0" b="0"/>
                <wp:docPr id="1" name="Picture 1" descr="PleaseRecy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easeRecyc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0C1E" w:rsidRPr="00FE1B61" w:rsidTr="00342EE7">
      <w:tc>
        <w:tcPr>
          <w:tcW w:w="4428" w:type="dxa"/>
        </w:tcPr>
        <w:p w:rsidR="00B40C1E" w:rsidRPr="00290F88" w:rsidRDefault="00B40C1E" w:rsidP="00342EE7">
          <w:pPr>
            <w:tabs>
              <w:tab w:val="center" w:pos="4320"/>
              <w:tab w:val="right" w:pos="8640"/>
            </w:tabs>
            <w:spacing w:before="120"/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</w:pPr>
          <w:r w:rsidRPr="00290F88"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  <w:t>*1385241*</w:t>
          </w:r>
        </w:p>
      </w:tc>
      <w:tc>
        <w:tcPr>
          <w:tcW w:w="6028" w:type="dxa"/>
          <w:vMerge/>
        </w:tcPr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</w:tc>
    </w:tr>
  </w:tbl>
  <w:p w:rsidR="00B40C1E" w:rsidRPr="00290F88" w:rsidRDefault="00B40C1E" w:rsidP="003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31" w:rsidRDefault="002E6C31">
      <w:r>
        <w:separator/>
      </w:r>
    </w:p>
  </w:footnote>
  <w:footnote w:type="continuationSeparator" w:id="0">
    <w:p w:rsidR="002E6C31" w:rsidRDefault="002E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1E" w:rsidRDefault="00B40C1E" w:rsidP="00B40C1E">
    <w:pPr>
      <w:pStyle w:val="Header"/>
      <w:jc w:val="center"/>
      <w:rPr>
        <w:lang w:val="de-DE"/>
      </w:rPr>
    </w:pPr>
    <w:r>
      <w:rPr>
        <w:lang w:val="de-DE"/>
      </w:rPr>
      <w:t>Annex</w:t>
    </w:r>
  </w:p>
  <w:p w:rsidR="00E97F37" w:rsidRPr="00B40C1E" w:rsidRDefault="00E97F37" w:rsidP="00B40C1E">
    <w:pPr>
      <w:pStyle w:val="Header"/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BFD"/>
    <w:multiLevelType w:val="hybridMultilevel"/>
    <w:tmpl w:val="4A88B8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56939"/>
    <w:multiLevelType w:val="hybridMultilevel"/>
    <w:tmpl w:val="50122610"/>
    <w:lvl w:ilvl="0" w:tplc="08090015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20" w:hanging="360"/>
      </w:pPr>
    </w:lvl>
    <w:lvl w:ilvl="2" w:tplc="0809001B" w:tentative="1">
      <w:start w:val="1"/>
      <w:numFmt w:val="lowerRoman"/>
      <w:lvlText w:val="%3."/>
      <w:lvlJc w:val="right"/>
      <w:pPr>
        <w:ind w:left="5940" w:hanging="180"/>
      </w:pPr>
    </w:lvl>
    <w:lvl w:ilvl="3" w:tplc="0809000F" w:tentative="1">
      <w:start w:val="1"/>
      <w:numFmt w:val="decimal"/>
      <w:lvlText w:val="%4."/>
      <w:lvlJc w:val="left"/>
      <w:pPr>
        <w:ind w:left="6660" w:hanging="360"/>
      </w:pPr>
    </w:lvl>
    <w:lvl w:ilvl="4" w:tplc="08090019" w:tentative="1">
      <w:start w:val="1"/>
      <w:numFmt w:val="lowerLetter"/>
      <w:lvlText w:val="%5."/>
      <w:lvlJc w:val="left"/>
      <w:pPr>
        <w:ind w:left="7380" w:hanging="360"/>
      </w:pPr>
    </w:lvl>
    <w:lvl w:ilvl="5" w:tplc="0809001B" w:tentative="1">
      <w:start w:val="1"/>
      <w:numFmt w:val="lowerRoman"/>
      <w:lvlText w:val="%6."/>
      <w:lvlJc w:val="right"/>
      <w:pPr>
        <w:ind w:left="8100" w:hanging="180"/>
      </w:pPr>
    </w:lvl>
    <w:lvl w:ilvl="6" w:tplc="0809000F" w:tentative="1">
      <w:start w:val="1"/>
      <w:numFmt w:val="decimal"/>
      <w:lvlText w:val="%7."/>
      <w:lvlJc w:val="left"/>
      <w:pPr>
        <w:ind w:left="8820" w:hanging="360"/>
      </w:pPr>
    </w:lvl>
    <w:lvl w:ilvl="7" w:tplc="08090019" w:tentative="1">
      <w:start w:val="1"/>
      <w:numFmt w:val="lowerLetter"/>
      <w:lvlText w:val="%8."/>
      <w:lvlJc w:val="left"/>
      <w:pPr>
        <w:ind w:left="9540" w:hanging="360"/>
      </w:pPr>
    </w:lvl>
    <w:lvl w:ilvl="8" w:tplc="08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1AB07E6C"/>
    <w:multiLevelType w:val="hybridMultilevel"/>
    <w:tmpl w:val="0290C4B4"/>
    <w:lvl w:ilvl="0" w:tplc="257C82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14A2"/>
    <w:multiLevelType w:val="hybridMultilevel"/>
    <w:tmpl w:val="51C8F5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EC6"/>
    <w:multiLevelType w:val="hybridMultilevel"/>
    <w:tmpl w:val="F1D04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42D04"/>
    <w:multiLevelType w:val="multilevel"/>
    <w:tmpl w:val="E2DC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86232"/>
    <w:multiLevelType w:val="multilevel"/>
    <w:tmpl w:val="F1D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E78E3"/>
    <w:multiLevelType w:val="hybridMultilevel"/>
    <w:tmpl w:val="C9E84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57D3"/>
    <w:multiLevelType w:val="hybridMultilevel"/>
    <w:tmpl w:val="E2DC9C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03DDF"/>
    <w:multiLevelType w:val="hybridMultilevel"/>
    <w:tmpl w:val="81DC48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8"/>
    <w:rsid w:val="0003371E"/>
    <w:rsid w:val="0004323C"/>
    <w:rsid w:val="0005052E"/>
    <w:rsid w:val="000736EF"/>
    <w:rsid w:val="000872DF"/>
    <w:rsid w:val="000967E6"/>
    <w:rsid w:val="00116D9E"/>
    <w:rsid w:val="0013730F"/>
    <w:rsid w:val="001454F9"/>
    <w:rsid w:val="0014675A"/>
    <w:rsid w:val="001B4E68"/>
    <w:rsid w:val="001B7B94"/>
    <w:rsid w:val="001C1A19"/>
    <w:rsid w:val="001C4743"/>
    <w:rsid w:val="001F1FF7"/>
    <w:rsid w:val="001F2D10"/>
    <w:rsid w:val="0020407A"/>
    <w:rsid w:val="0020427B"/>
    <w:rsid w:val="002441CF"/>
    <w:rsid w:val="00246B02"/>
    <w:rsid w:val="00253991"/>
    <w:rsid w:val="0027016D"/>
    <w:rsid w:val="00286690"/>
    <w:rsid w:val="002A1FE8"/>
    <w:rsid w:val="002E0C2F"/>
    <w:rsid w:val="002E269F"/>
    <w:rsid w:val="002E6C31"/>
    <w:rsid w:val="0031148A"/>
    <w:rsid w:val="00342EE7"/>
    <w:rsid w:val="003516CF"/>
    <w:rsid w:val="00351B76"/>
    <w:rsid w:val="00352E23"/>
    <w:rsid w:val="003850DB"/>
    <w:rsid w:val="00386793"/>
    <w:rsid w:val="003873BA"/>
    <w:rsid w:val="00390022"/>
    <w:rsid w:val="00400B29"/>
    <w:rsid w:val="004209EF"/>
    <w:rsid w:val="00436141"/>
    <w:rsid w:val="0047153D"/>
    <w:rsid w:val="00492652"/>
    <w:rsid w:val="004C0022"/>
    <w:rsid w:val="004C69D9"/>
    <w:rsid w:val="004E40D9"/>
    <w:rsid w:val="004E5391"/>
    <w:rsid w:val="004F635C"/>
    <w:rsid w:val="00506807"/>
    <w:rsid w:val="00507838"/>
    <w:rsid w:val="00510EE6"/>
    <w:rsid w:val="00563247"/>
    <w:rsid w:val="00567146"/>
    <w:rsid w:val="0059774B"/>
    <w:rsid w:val="005B33A1"/>
    <w:rsid w:val="005C1456"/>
    <w:rsid w:val="005C29BA"/>
    <w:rsid w:val="00602745"/>
    <w:rsid w:val="006269DF"/>
    <w:rsid w:val="00656861"/>
    <w:rsid w:val="00694129"/>
    <w:rsid w:val="006A7017"/>
    <w:rsid w:val="006C59F5"/>
    <w:rsid w:val="006D5222"/>
    <w:rsid w:val="006F21E7"/>
    <w:rsid w:val="00704479"/>
    <w:rsid w:val="0071288F"/>
    <w:rsid w:val="00732793"/>
    <w:rsid w:val="00737D58"/>
    <w:rsid w:val="00751E0C"/>
    <w:rsid w:val="0078105E"/>
    <w:rsid w:val="00785E48"/>
    <w:rsid w:val="007A0099"/>
    <w:rsid w:val="007B2810"/>
    <w:rsid w:val="007C0E9E"/>
    <w:rsid w:val="007D1B94"/>
    <w:rsid w:val="007D3BEE"/>
    <w:rsid w:val="00840CD0"/>
    <w:rsid w:val="0084503F"/>
    <w:rsid w:val="00877881"/>
    <w:rsid w:val="008B62EA"/>
    <w:rsid w:val="008C7AFE"/>
    <w:rsid w:val="008E141E"/>
    <w:rsid w:val="008F1CDD"/>
    <w:rsid w:val="009116ED"/>
    <w:rsid w:val="00940967"/>
    <w:rsid w:val="009664C6"/>
    <w:rsid w:val="0096692A"/>
    <w:rsid w:val="00972DEF"/>
    <w:rsid w:val="009807FF"/>
    <w:rsid w:val="0098334A"/>
    <w:rsid w:val="00985275"/>
    <w:rsid w:val="009B44AE"/>
    <w:rsid w:val="009E34CF"/>
    <w:rsid w:val="009E6A10"/>
    <w:rsid w:val="00A02488"/>
    <w:rsid w:val="00A03264"/>
    <w:rsid w:val="00A35FD3"/>
    <w:rsid w:val="00A73C32"/>
    <w:rsid w:val="00AB48CE"/>
    <w:rsid w:val="00AC6BBF"/>
    <w:rsid w:val="00AE6F17"/>
    <w:rsid w:val="00AF7601"/>
    <w:rsid w:val="00B0191B"/>
    <w:rsid w:val="00B24985"/>
    <w:rsid w:val="00B40C1E"/>
    <w:rsid w:val="00B7065E"/>
    <w:rsid w:val="00B763FF"/>
    <w:rsid w:val="00B90320"/>
    <w:rsid w:val="00BA1162"/>
    <w:rsid w:val="00BB3E84"/>
    <w:rsid w:val="00BD666F"/>
    <w:rsid w:val="00BE6074"/>
    <w:rsid w:val="00BF591E"/>
    <w:rsid w:val="00C05FFF"/>
    <w:rsid w:val="00C56D91"/>
    <w:rsid w:val="00C60900"/>
    <w:rsid w:val="00CA3010"/>
    <w:rsid w:val="00CB410D"/>
    <w:rsid w:val="00CB6AFD"/>
    <w:rsid w:val="00CF26F6"/>
    <w:rsid w:val="00D0404F"/>
    <w:rsid w:val="00D166A1"/>
    <w:rsid w:val="00D50FE1"/>
    <w:rsid w:val="00D54F63"/>
    <w:rsid w:val="00D92BF8"/>
    <w:rsid w:val="00DB00EF"/>
    <w:rsid w:val="00DB4186"/>
    <w:rsid w:val="00DB73F3"/>
    <w:rsid w:val="00DB7DFE"/>
    <w:rsid w:val="00DC7A45"/>
    <w:rsid w:val="00DD2F08"/>
    <w:rsid w:val="00E03CBA"/>
    <w:rsid w:val="00E12756"/>
    <w:rsid w:val="00E160E1"/>
    <w:rsid w:val="00E63D64"/>
    <w:rsid w:val="00E97F37"/>
    <w:rsid w:val="00EA276B"/>
    <w:rsid w:val="00EE3EE2"/>
    <w:rsid w:val="00F0096A"/>
    <w:rsid w:val="00F34E6C"/>
    <w:rsid w:val="00F35FBA"/>
    <w:rsid w:val="00F37011"/>
    <w:rsid w:val="00F42BB3"/>
    <w:rsid w:val="00F437BF"/>
    <w:rsid w:val="00F44077"/>
    <w:rsid w:val="00F4650D"/>
    <w:rsid w:val="00F61256"/>
    <w:rsid w:val="00FA39D4"/>
    <w:rsid w:val="00FA44D3"/>
    <w:rsid w:val="00FC110F"/>
    <w:rsid w:val="00FD24C2"/>
    <w:rsid w:val="00FE23A8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DA9BB54A-9F12-420F-8C3F-DF0E70C3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0"/>
    </w:pPr>
    <w:rPr>
      <w:rFonts w:ascii="Arial" w:hAnsi="Arial"/>
      <w:sz w:val="18"/>
      <w:szCs w:val="20"/>
      <w:u w:val="single"/>
      <w:lang w:val="fr-CA" w:eastAsia="en-US"/>
    </w:rPr>
  </w:style>
  <w:style w:type="paragraph" w:styleId="Heading2">
    <w:name w:val="heading 2"/>
    <w:basedOn w:val="Normal"/>
    <w:next w:val="Normal"/>
    <w:qFormat/>
    <w:rsid w:val="00DD2F08"/>
    <w:pPr>
      <w:keepNext/>
      <w:widowControl w:val="0"/>
      <w:tabs>
        <w:tab w:val="center" w:pos="7810"/>
        <w:tab w:val="left" w:pos="8481"/>
        <w:tab w:val="left" w:pos="9672"/>
        <w:tab w:val="left" w:pos="14716"/>
      </w:tabs>
      <w:spacing w:line="192" w:lineRule="auto"/>
      <w:outlineLvl w:val="1"/>
    </w:pPr>
    <w:rPr>
      <w:rFonts w:ascii="Arial" w:hAnsi="Arial"/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2"/>
    </w:pPr>
    <w:rPr>
      <w:rFonts w:ascii="Arial" w:hAnsi="Arial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08"/>
    <w:pPr>
      <w:widowControl w:val="0"/>
    </w:pPr>
    <w:rPr>
      <w:rFonts w:ascii="Arial" w:hAnsi="Arial"/>
      <w:sz w:val="20"/>
      <w:szCs w:val="20"/>
      <w:lang w:eastAsia="en-US"/>
    </w:rPr>
  </w:style>
  <w:style w:type="paragraph" w:styleId="BodyText2">
    <w:name w:val="Body Text 2"/>
    <w:basedOn w:val="Normal"/>
    <w:rsid w:val="00DD2F08"/>
    <w:pPr>
      <w:widowControl w:val="0"/>
      <w:jc w:val="center"/>
    </w:pPr>
    <w:rPr>
      <w:rFonts w:ascii="Arial" w:hAnsi="Arial"/>
      <w:sz w:val="18"/>
      <w:szCs w:val="20"/>
      <w:lang w:eastAsia="en-US"/>
    </w:rPr>
  </w:style>
  <w:style w:type="paragraph" w:styleId="BodyTextIndent">
    <w:name w:val="Body Text Indent"/>
    <w:basedOn w:val="Normal"/>
    <w:rsid w:val="00DD2F08"/>
    <w:pPr>
      <w:widowControl w:val="0"/>
      <w:tabs>
        <w:tab w:val="left" w:pos="284"/>
        <w:tab w:val="left" w:pos="3379"/>
        <w:tab w:val="left" w:pos="8481"/>
        <w:tab w:val="left" w:pos="9672"/>
        <w:tab w:val="left" w:pos="14716"/>
      </w:tabs>
      <w:spacing w:line="192" w:lineRule="auto"/>
      <w:ind w:left="284" w:hanging="284"/>
      <w:jc w:val="both"/>
    </w:pPr>
    <w:rPr>
      <w:rFonts w:ascii="Arial Narrow" w:hAnsi="Arial Narrow"/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rsid w:val="00DD2F08"/>
    <w:pPr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</w:pPr>
    <w:rPr>
      <w:rFonts w:ascii="Arial" w:hAnsi="Arial" w:cs="Arial"/>
      <w:b/>
      <w:bCs/>
      <w:sz w:val="18"/>
      <w:szCs w:val="20"/>
      <w:u w:val="single"/>
      <w:lang w:eastAsia="en-US"/>
    </w:rPr>
  </w:style>
  <w:style w:type="character" w:styleId="Hyperlink">
    <w:name w:val="Hyperlink"/>
    <w:rsid w:val="00D54F63"/>
    <w:rPr>
      <w:color w:val="0000FF"/>
      <w:u w:val="single"/>
    </w:rPr>
  </w:style>
  <w:style w:type="paragraph" w:styleId="Footer">
    <w:name w:val="footer"/>
    <w:link w:val="FooterChar"/>
    <w:rsid w:val="0020427B"/>
    <w:pPr>
      <w:tabs>
        <w:tab w:val="left" w:pos="459"/>
        <w:tab w:val="left" w:pos="924"/>
        <w:tab w:val="left" w:pos="1383"/>
      </w:tabs>
    </w:pPr>
    <w:rPr>
      <w:noProof/>
      <w:sz w:val="22"/>
      <w:lang w:eastAsia="en-GB"/>
    </w:rPr>
  </w:style>
  <w:style w:type="paragraph" w:styleId="Header">
    <w:name w:val="header"/>
    <w:rsid w:val="0020427B"/>
    <w:rPr>
      <w:noProof/>
      <w:sz w:val="22"/>
      <w:lang w:eastAsia="en-GB"/>
    </w:rPr>
  </w:style>
  <w:style w:type="character" w:styleId="PageNumber">
    <w:name w:val="page number"/>
    <w:rsid w:val="0020427B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rsid w:val="00AC6B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6BBF"/>
  </w:style>
  <w:style w:type="character" w:styleId="FootnoteReference">
    <w:name w:val="footnote reference"/>
    <w:unhideWhenUsed/>
    <w:rsid w:val="00AC6BBF"/>
    <w:rPr>
      <w:rFonts w:ascii="Times New Roman" w:hAnsi="Times New Roman" w:cs="Times New Roman" w:hint="default"/>
      <w:sz w:val="20"/>
      <w:vertAlign w:val="superscript"/>
    </w:rPr>
  </w:style>
  <w:style w:type="paragraph" w:styleId="BodyTextIndent3">
    <w:name w:val="Body Text Indent 3"/>
    <w:basedOn w:val="Normal"/>
    <w:link w:val="BodyTextIndent3Char"/>
    <w:rsid w:val="008B6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B62EA"/>
    <w:pPr>
      <w:ind w:left="720"/>
    </w:pPr>
  </w:style>
  <w:style w:type="paragraph" w:styleId="BalloonText">
    <w:name w:val="Balloon Text"/>
    <w:basedOn w:val="Normal"/>
    <w:link w:val="BalloonTextChar"/>
    <w:rsid w:val="00D50F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50FE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C0022"/>
    <w:rPr>
      <w:noProof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b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Address: http://www</vt:lpstr>
    </vt:vector>
  </TitlesOfParts>
  <Company>UNODc</Company>
  <LinksUpToDate>false</LinksUpToDate>
  <CharactersWithSpaces>467</CharactersWithSpaces>
  <SharedDoc>false</SharedDoc>
  <HLinks>
    <vt:vector size="18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http://www.incb.org/incb/green_list.html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http://www.incb.org/</vt:lpwstr>
      </vt:variant>
      <vt:variant>
        <vt:lpwstr/>
      </vt:variant>
      <vt:variant>
        <vt:i4>3997721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mailto:secretariat@incb.org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Address: http://www</dc:title>
  <dc:subject/>
  <dc:creator>rebbani</dc:creator>
  <cp:keywords/>
  <cp:lastModifiedBy>Lilian Sandouk</cp:lastModifiedBy>
  <cp:revision>3</cp:revision>
  <cp:lastPrinted>2018-12-05T08:45:00Z</cp:lastPrinted>
  <dcterms:created xsi:type="dcterms:W3CDTF">2018-05-21T08:48:00Z</dcterms:created>
  <dcterms:modified xsi:type="dcterms:W3CDTF">2018-12-05T08:56:00Z</dcterms:modified>
</cp:coreProperties>
</file>